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73" w:rsidRPr="00425462" w:rsidRDefault="00E11147" w:rsidP="0042546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東元醫療社團法人東</w:t>
      </w:r>
      <w:r w:rsidR="00425462" w:rsidRPr="00425462">
        <w:rPr>
          <w:rFonts w:ascii="標楷體" w:eastAsia="標楷體" w:hAnsi="標楷體" w:hint="eastAsia"/>
        </w:rPr>
        <w:t>元綜合醫院</w:t>
      </w:r>
      <w:proofErr w:type="gramStart"/>
      <w:r w:rsidR="00425462" w:rsidRPr="00425462">
        <w:rPr>
          <w:rFonts w:ascii="標楷體" w:eastAsia="標楷體" w:hAnsi="標楷體" w:hint="eastAsia"/>
        </w:rPr>
        <w:t>醫</w:t>
      </w:r>
      <w:proofErr w:type="gramEnd"/>
      <w:r w:rsidR="00425462" w:rsidRPr="00425462">
        <w:rPr>
          <w:rFonts w:ascii="標楷體" w:eastAsia="標楷體" w:hAnsi="標楷體" w:hint="eastAsia"/>
        </w:rPr>
        <w:t>事人員溝通平台轉診轉入流程圖</w:t>
      </w:r>
    </w:p>
    <w:p w:rsidR="00425462" w:rsidRDefault="005E25DF">
      <w:r>
        <w:rPr>
          <w:noProof/>
        </w:rPr>
        <w:pict>
          <v:group id="_x0000_s1026" editas="canvas" style="position:absolute;margin-left:-7.3pt;margin-top:3.95pt;width:450.25pt;height:695.75pt;z-index:251658240" coordorigin="1800,2187" coordsize="9005,139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0;top:2187;width:9005;height:13915" o:preferrelative="f">
              <v:fill o:detectmouseclick="t"/>
              <v:path o:extrusionok="t" o:connecttype="none"/>
              <o:lock v:ext="edit" text="t"/>
            </v:shape>
            <v:rect id="_x0000_s1028" style="position:absolute;left:2490;top:3567;width:2928;height:2428">
              <v:textbox style="mso-next-textbox:#_x0000_s1028">
                <w:txbxContent>
                  <w:p w:rsidR="00425462" w:rsidRPr="00B732D1" w:rsidRDefault="00425462" w:rsidP="00425462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標楷體" w:eastAsia="標楷體" w:hAnsi="標楷體" w:cs="新細明體"/>
                        <w:bCs/>
                        <w:color w:val="000000"/>
                        <w:kern w:val="0"/>
                        <w:szCs w:val="24"/>
                      </w:rPr>
                    </w:pP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1.</w:t>
                    </w:r>
                    <w:r w:rsidRPr="00B732D1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轉診人員上班時間至</w:t>
                    </w: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電子轉診系統</w:t>
                    </w:r>
                    <w:r w:rsidRPr="00B732D1">
                      <w:rPr>
                        <w:rFonts w:ascii="標楷體" w:eastAsia="標楷體" w:hAnsi="標楷體" w:cs="新細明體"/>
                        <w:bCs/>
                        <w:color w:val="000000"/>
                        <w:kern w:val="0"/>
                        <w:szCs w:val="24"/>
                      </w:rPr>
                      <w:t>查詢</w:t>
                    </w:r>
                    <w:r w:rsidRPr="00B732D1">
                      <w:rPr>
                        <w:rFonts w:ascii="標楷體" w:eastAsia="標楷體" w:hAnsi="標楷體" w:cs="新細明體" w:hint="eastAsia"/>
                        <w:bCs/>
                        <w:color w:val="000000"/>
                        <w:kern w:val="0"/>
                        <w:szCs w:val="24"/>
                      </w:rPr>
                      <w:t>是否有轉入病人</w:t>
                    </w:r>
                    <w:r>
                      <w:rPr>
                        <w:rFonts w:ascii="標楷體" w:eastAsia="標楷體" w:hAnsi="標楷體" w:cs="新細明體" w:hint="eastAsia"/>
                        <w:bCs/>
                        <w:color w:val="000000"/>
                        <w:kern w:val="0"/>
                        <w:szCs w:val="24"/>
                      </w:rPr>
                      <w:t>及</w:t>
                    </w: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媒合</w:t>
                    </w:r>
                    <w:r w:rsidRPr="00B732D1">
                      <w:rPr>
                        <w:rFonts w:ascii="標楷體" w:eastAsia="標楷體" w:hAnsi="標楷體" w:cs="新細明體" w:hint="eastAsia"/>
                        <w:bCs/>
                        <w:color w:val="000000"/>
                        <w:kern w:val="0"/>
                        <w:szCs w:val="24"/>
                      </w:rPr>
                      <w:t>，聯繫及協助掛號</w:t>
                    </w:r>
                  </w:p>
                  <w:p w:rsidR="00425462" w:rsidRDefault="00425462" w:rsidP="00425462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新細明體" w:hint="eastAsia"/>
                        <w:bCs/>
                        <w:color w:val="000000"/>
                        <w:kern w:val="0"/>
                        <w:sz w:val="22"/>
                      </w:rPr>
                      <w:t>2.</w:t>
                    </w:r>
                    <w:r>
                      <w:rPr>
                        <w:rFonts w:ascii="標楷體" w:eastAsia="標楷體" w:hAnsi="標楷體" w:hint="eastAsia"/>
                      </w:rPr>
                      <w:t>由轉入醫療院所聯絡本院轉診櫃台協助掛號</w:t>
                    </w:r>
                  </w:p>
                  <w:p w:rsidR="00425462" w:rsidRDefault="00425462" w:rsidP="00425462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3.網路掛號</w:t>
                    </w:r>
                  </w:p>
                  <w:p w:rsidR="00425462" w:rsidRPr="00D84D75" w:rsidRDefault="00425462" w:rsidP="00425462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標楷體" w:eastAsia="標楷體" w:hAnsi="標楷體" w:cs="新細明體"/>
                        <w:bCs/>
                        <w:color w:val="000000"/>
                        <w:kern w:val="0"/>
                        <w:sz w:val="22"/>
                      </w:rPr>
                    </w:pPr>
                  </w:p>
                  <w:p w:rsidR="00425462" w:rsidRPr="00546B9C" w:rsidRDefault="00425462" w:rsidP="00425462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標楷體" w:eastAsia="標楷體" w:hAnsi="標楷體" w:cs="新細明體"/>
                        <w:color w:val="000000"/>
                        <w:kern w:val="0"/>
                        <w:szCs w:val="24"/>
                      </w:rPr>
                    </w:pPr>
                  </w:p>
                  <w:p w:rsidR="00425462" w:rsidRPr="00E91219" w:rsidRDefault="00425462" w:rsidP="00425462"/>
                </w:txbxContent>
              </v:textbox>
            </v:rect>
            <v:rect id="_x0000_s1029" style="position:absolute;left:2442;top:6249;width:3024;height:1201">
              <v:textbox style="mso-next-textbox:#_x0000_s1029">
                <w:txbxContent>
                  <w:p w:rsidR="00425462" w:rsidRPr="00B732D1" w:rsidRDefault="00425462" w:rsidP="00425462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病人到達本院</w:t>
                    </w: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轉診櫃台，</w:t>
                    </w:r>
                    <w:r>
                      <w:rPr>
                        <w:rFonts w:ascii="標楷體" w:eastAsia="標楷體" w:hAnsi="標楷體" w:hint="eastAsia"/>
                      </w:rPr>
                      <w:t>由專人指引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至診間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</w:rPr>
                      <w:t>，安排轉診病人優先看診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0" type="#_x0000_t110" style="position:absolute;left:2748;top:7699;width:2412;height:1212">
              <v:textbox style="mso-next-textbox:#_x0000_s1030">
                <w:txbxContent>
                  <w:p w:rsidR="00425462" w:rsidRPr="00FA1DCD" w:rsidRDefault="00425462" w:rsidP="00425462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FA1DCD">
                      <w:rPr>
                        <w:rFonts w:ascii="標楷體" w:eastAsia="標楷體" w:hAnsi="標楷體" w:hint="eastAsia"/>
                      </w:rPr>
                      <w:t>住院</w:t>
                    </w:r>
                  </w:p>
                </w:txbxContent>
              </v:textbox>
            </v:shape>
            <v:rect id="_x0000_s1031" style="position:absolute;left:1919;top:9398;width:4082;height:2295">
              <v:textbox style="mso-next-textbox:#_x0000_s1031">
                <w:txbxContent>
                  <w:p w:rsidR="00425462" w:rsidRPr="00F85FC7" w:rsidRDefault="00425462" w:rsidP="00425462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經診治後，由主治醫師於</w:t>
                    </w:r>
                    <w:proofErr w:type="gramStart"/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醫</w:t>
                    </w:r>
                    <w:proofErr w:type="gramEnd"/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事人員溝通</w:t>
                    </w:r>
                    <w:proofErr w:type="gramStart"/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平台線上接收</w:t>
                    </w:r>
                    <w:proofErr w:type="gramEnd"/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並回覆處置結果。</w:t>
                    </w:r>
                    <w:r w:rsidRPr="00F85FC7">
                      <w:rPr>
                        <w:rFonts w:ascii="標楷體" w:eastAsia="標楷體" w:hAnsi="標楷體" w:hint="eastAsia"/>
                      </w:rPr>
                      <w:t>轉診醫療院所亦可</w:t>
                    </w:r>
                    <w:proofErr w:type="gramStart"/>
                    <w:r w:rsidRPr="00F85FC7">
                      <w:rPr>
                        <w:rFonts w:ascii="標楷體" w:eastAsia="標楷體" w:hAnsi="標楷體" w:hint="eastAsia"/>
                      </w:rPr>
                      <w:t>利用線上雙向</w:t>
                    </w:r>
                    <w:proofErr w:type="gramEnd"/>
                    <w:r w:rsidRPr="00F85FC7">
                      <w:rPr>
                        <w:rFonts w:ascii="標楷體" w:eastAsia="標楷體" w:hAnsi="標楷體" w:hint="eastAsia"/>
                      </w:rPr>
                      <w:t>轉診服務系統查詢轉診個案及</w:t>
                    </w:r>
                    <w:r>
                      <w:rPr>
                        <w:rFonts w:ascii="標楷體" w:eastAsia="標楷體" w:hAnsi="標楷體" w:hint="eastAsia"/>
                      </w:rPr>
                      <w:t>相關資訊。待病人病情穩定後，將回原基層醫療院所進行後續追蹤治療。</w:t>
                    </w:r>
                  </w:p>
                  <w:p w:rsidR="00425462" w:rsidRPr="00273CAF" w:rsidRDefault="00425462" w:rsidP="00425462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標楷體" w:eastAsia="標楷體" w:hAnsi="標楷體" w:cs="新細明體"/>
                        <w:color w:val="000000"/>
                        <w:kern w:val="0"/>
                        <w:szCs w:val="24"/>
                      </w:rPr>
                    </w:pPr>
                  </w:p>
                  <w:p w:rsidR="00425462" w:rsidRPr="00FA1DCD" w:rsidRDefault="00425462" w:rsidP="00425462"/>
                </w:txbxContent>
              </v:textbox>
            </v:rect>
            <v:rect id="_x0000_s1032" style="position:absolute;left:6732;top:6965;width:3750;height:2681">
              <v:textbox style="mso-next-textbox:#_x0000_s1032">
                <w:txbxContent>
                  <w:p w:rsidR="00425462" w:rsidRPr="00F85FC7" w:rsidRDefault="00425462" w:rsidP="00425462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經診治後，由主治醫師於</w:t>
                    </w:r>
                    <w:proofErr w:type="gramStart"/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醫</w:t>
                    </w:r>
                    <w:proofErr w:type="gramEnd"/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事人員溝通</w:t>
                    </w:r>
                    <w:proofErr w:type="gramStart"/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平台線上接收</w:t>
                    </w:r>
                    <w:proofErr w:type="gramEnd"/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並回覆處置結果。</w:t>
                    </w:r>
                    <w:r w:rsidRPr="00F85FC7">
                      <w:rPr>
                        <w:rFonts w:ascii="標楷體" w:eastAsia="標楷體" w:hAnsi="標楷體" w:hint="eastAsia"/>
                      </w:rPr>
                      <w:t>轉診醫療院所亦可</w:t>
                    </w:r>
                    <w:proofErr w:type="gramStart"/>
                    <w:r w:rsidRPr="00F85FC7">
                      <w:rPr>
                        <w:rFonts w:ascii="標楷體" w:eastAsia="標楷體" w:hAnsi="標楷體" w:hint="eastAsia"/>
                      </w:rPr>
                      <w:t>利用線上雙向</w:t>
                    </w:r>
                    <w:proofErr w:type="gramEnd"/>
                    <w:r w:rsidRPr="00F85FC7">
                      <w:rPr>
                        <w:rFonts w:ascii="標楷體" w:eastAsia="標楷體" w:hAnsi="標楷體" w:hint="eastAsia"/>
                      </w:rPr>
                      <w:t>轉診服務系統查詢轉診個案及</w:t>
                    </w:r>
                    <w:r>
                      <w:rPr>
                        <w:rFonts w:ascii="標楷體" w:eastAsia="標楷體" w:hAnsi="標楷體" w:hint="eastAsia"/>
                      </w:rPr>
                      <w:t>相關資訊。待病人病情穩定後，將回原基層醫療院所進行後續追蹤治療。</w:t>
                    </w:r>
                  </w:p>
                  <w:p w:rsidR="00425462" w:rsidRPr="00273CAF" w:rsidRDefault="00425462" w:rsidP="00425462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標楷體" w:eastAsia="標楷體" w:hAnsi="標楷體"/>
                        <w:color w:val="000000"/>
                        <w:kern w:val="0"/>
                        <w:szCs w:val="24"/>
                      </w:rPr>
                    </w:pP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3" type="#_x0000_t34" style="position:absolute;left:5160;top:8305;width:1572;height:1" o:connectortype="elbow" adj=",-164959200,-68895">
              <v:stroke endarrow="block"/>
            </v:shape>
            <v:shape id="_x0000_s1034" type="#_x0000_t34" style="position:absolute;left:3713;top:9152;width:487;height:6;rotation:90;flip:x" o:connectortype="elbow" adj="10778,29674800,-168897">
              <v:stroke endarrow="block"/>
            </v:shape>
            <v:rect id="_x0000_s1035" style="position:absolute;left:7187;top:10059;width:2832;height:1456">
              <v:textbox style="mso-next-textbox:#_x0000_s1035">
                <w:txbxContent>
                  <w:p w:rsidR="00425462" w:rsidRPr="0015771B" w:rsidRDefault="00425462" w:rsidP="00425462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標楷體" w:eastAsia="標楷體" w:hAnsi="標楷體" w:cs="新細明體"/>
                        <w:color w:val="000000"/>
                        <w:kern w:val="0"/>
                        <w:szCs w:val="24"/>
                      </w:rPr>
                    </w:pP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病人將轉診</w:t>
                    </w:r>
                    <w:proofErr w:type="gramStart"/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單</w:t>
                    </w: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交由批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價人員作為轉診身份憑證，並可做為當次門診部份負擔的減收依據</w:t>
                    </w:r>
                  </w:p>
                </w:txbxContent>
              </v:textbox>
            </v:rect>
            <v:shape id="_x0000_s1036" type="#_x0000_t34" style="position:absolute;left:8398;top:9851;width:413;height:4;rotation:90" o:connectortype="elbow" adj="10774,-48481200,-442512">
              <v:stroke endarrow="block"/>
            </v:shape>
            <v:rect id="_x0000_s1037" style="position:absolute;left:5418;top:8649;width:492;height:420" stroked="f">
              <v:textbox style="mso-next-textbox:#_x0000_s1037">
                <w:txbxContent>
                  <w:p w:rsidR="00425462" w:rsidRPr="0015771B" w:rsidRDefault="00425462" w:rsidP="00425462">
                    <w:pPr>
                      <w:rPr>
                        <w:rFonts w:ascii="標楷體" w:eastAsia="標楷體" w:hAnsi="標楷體"/>
                        <w:b/>
                      </w:rPr>
                    </w:pPr>
                    <w:proofErr w:type="gramStart"/>
                    <w:r w:rsidRPr="0015771B">
                      <w:rPr>
                        <w:rFonts w:ascii="標楷體" w:eastAsia="標楷體" w:hAnsi="標楷體" w:hint="eastAsia"/>
                        <w:b/>
                      </w:rPr>
                      <w:t>否</w:t>
                    </w:r>
                    <w:proofErr w:type="gramEnd"/>
                  </w:p>
                </w:txbxContent>
              </v:textbox>
            </v:rect>
            <v:rect id="_x0000_s1038" style="position:absolute;left:3106;top:8840;width:504;height:492" stroked="f">
              <v:textbox style="mso-next-textbox:#_x0000_s1038">
                <w:txbxContent>
                  <w:p w:rsidR="00425462" w:rsidRPr="0015771B" w:rsidRDefault="00425462" w:rsidP="00425462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15771B">
                      <w:rPr>
                        <w:rFonts w:ascii="標楷體" w:eastAsia="標楷體" w:hAnsi="標楷體" w:hint="eastAsia"/>
                        <w:b/>
                      </w:rPr>
                      <w:t>是</w:t>
                    </w:r>
                  </w:p>
                </w:txbxContent>
              </v:textbox>
            </v:rect>
            <v:rect id="_x0000_s1039" style="position:absolute;left:2737;top:11963;width:2448;height:1164">
              <v:textbox style="mso-next-textbox:#_x0000_s1039">
                <w:txbxContent>
                  <w:p w:rsidR="00425462" w:rsidRPr="00D875FD" w:rsidRDefault="00425462" w:rsidP="00425462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標楷體" w:eastAsia="標楷體" w:hAnsi="標楷體"/>
                        <w:color w:val="000000"/>
                        <w:kern w:val="0"/>
                        <w:szCs w:val="24"/>
                      </w:rPr>
                    </w:pP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病人將轉診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單交由批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價員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轉交給轉診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中心</w:t>
                    </w:r>
                  </w:p>
                  <w:p w:rsidR="00425462" w:rsidRPr="0015771B" w:rsidRDefault="00425462" w:rsidP="00425462"/>
                </w:txbxContent>
              </v:textbox>
            </v:re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40" type="#_x0000_t116" style="position:absolute;left:2172;top:13701;width:3564;height:2340">
              <v:textbox style="mso-next-textbox:#_x0000_s1040">
                <w:txbxContent>
                  <w:p w:rsidR="00425462" w:rsidRPr="00D875FD" w:rsidRDefault="00425462" w:rsidP="00425462">
                    <w:pPr>
                      <w:pStyle w:val="a3"/>
                      <w:autoSpaceDE w:val="0"/>
                      <w:autoSpaceDN w:val="0"/>
                      <w:adjustRightInd w:val="0"/>
                      <w:snapToGrid w:val="0"/>
                      <w:ind w:leftChars="0" w:left="240" w:hangingChars="100" w:hanging="240"/>
                      <w:rPr>
                        <w:rFonts w:ascii="標楷體" w:eastAsia="標楷體" w:hAnsi="標楷體" w:cs="新細明體"/>
                        <w:color w:val="000000"/>
                        <w:kern w:val="0"/>
                      </w:rPr>
                    </w:pP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</w:rPr>
                      <w:t>1.病人出院後十四天內將病歷摘要及轉診單複製一份寄回原轉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</w:rPr>
                      <w:t>介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</w:rPr>
                      <w:t>院所</w:t>
                    </w:r>
                  </w:p>
                  <w:p w:rsidR="00425462" w:rsidRPr="00D875FD" w:rsidRDefault="00425462" w:rsidP="00425462">
                    <w:pPr>
                      <w:pStyle w:val="a3"/>
                      <w:autoSpaceDE w:val="0"/>
                      <w:autoSpaceDN w:val="0"/>
                      <w:adjustRightInd w:val="0"/>
                      <w:snapToGrid w:val="0"/>
                      <w:ind w:leftChars="0" w:left="240" w:hangingChars="100" w:hanging="240"/>
                      <w:rPr>
                        <w:rFonts w:ascii="標楷體" w:eastAsia="標楷體" w:hAnsi="標楷體"/>
                        <w:color w:val="000000"/>
                        <w:kern w:val="0"/>
                      </w:rPr>
                    </w:pP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</w:rPr>
                      <w:t>2.轉診單（第一聯）資料完成後病歷歸</w:t>
                    </w: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</w:rPr>
                      <w:t>檔</w:t>
                    </w: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</w:rPr>
                      <w:t>備查</w:t>
                    </w:r>
                  </w:p>
                  <w:p w:rsidR="00425462" w:rsidRPr="0015771B" w:rsidRDefault="00425462" w:rsidP="00425462"/>
                </w:txbxContent>
              </v:textbox>
            </v:shape>
            <v:rect id="_x0000_s1041" style="position:absolute;left:7379;top:11908;width:2448;height:1049">
              <v:textbox style="mso-next-textbox:#_x0000_s1041">
                <w:txbxContent>
                  <w:p w:rsidR="00425462" w:rsidRPr="00D875FD" w:rsidRDefault="00425462" w:rsidP="00425462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標楷體" w:eastAsia="標楷體" w:hAnsi="標楷體"/>
                        <w:color w:val="000000"/>
                        <w:kern w:val="0"/>
                        <w:szCs w:val="24"/>
                      </w:rPr>
                    </w:pP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病人將轉診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單交由批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價員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轉交給轉診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中心</w:t>
                    </w:r>
                  </w:p>
                  <w:p w:rsidR="00425462" w:rsidRPr="0015771B" w:rsidRDefault="00425462" w:rsidP="00425462"/>
                </w:txbxContent>
              </v:textbox>
            </v:rect>
            <v:shape id="_x0000_s1042" type="#_x0000_t116" style="position:absolute;left:6791;top:13375;width:3624;height:2666">
              <v:textbox style="mso-next-textbox:#_x0000_s1042">
                <w:txbxContent>
                  <w:p w:rsidR="00425462" w:rsidRPr="00D875FD" w:rsidRDefault="00425462" w:rsidP="00425462">
                    <w:pPr>
                      <w:autoSpaceDE w:val="0"/>
                      <w:autoSpaceDN w:val="0"/>
                      <w:adjustRightInd w:val="0"/>
                      <w:snapToGrid w:val="0"/>
                      <w:ind w:left="240" w:hangingChars="100" w:hanging="240"/>
                      <w:rPr>
                        <w:rFonts w:ascii="標楷體" w:eastAsia="標楷體" w:hAnsi="標楷體"/>
                        <w:color w:val="000000"/>
                        <w:kern w:val="0"/>
                        <w:szCs w:val="24"/>
                      </w:rPr>
                    </w:pP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1.轉診中心於病人診治後的三個工作天內，轉診單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回覆原轉診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院所醫師，以供後續追蹤治療之參考</w:t>
                    </w:r>
                  </w:p>
                  <w:p w:rsidR="00425462" w:rsidRPr="00D875FD" w:rsidRDefault="00425462" w:rsidP="00425462">
                    <w:pPr>
                      <w:pStyle w:val="a3"/>
                      <w:autoSpaceDE w:val="0"/>
                      <w:autoSpaceDN w:val="0"/>
                      <w:adjustRightInd w:val="0"/>
                      <w:snapToGrid w:val="0"/>
                      <w:ind w:leftChars="0" w:left="240" w:hangingChars="100" w:hanging="240"/>
                      <w:rPr>
                        <w:rFonts w:ascii="標楷體" w:eastAsia="標楷體" w:hAnsi="標楷體"/>
                        <w:color w:val="000000"/>
                        <w:kern w:val="0"/>
                      </w:rPr>
                    </w:pP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</w:rPr>
                      <w:t>2.</w:t>
                    </w: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</w:rPr>
                      <w:t>轉診單</w:t>
                    </w: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</w:rPr>
                      <w:t>資料完成後歸病歷備查</w:t>
                    </w:r>
                  </w:p>
                  <w:p w:rsidR="00425462" w:rsidRPr="0015771B" w:rsidRDefault="00425462" w:rsidP="00425462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8407;top:11711;width:393;height:1;rotation:90" o:connectortype="elbow" adj="-464812,-1,-464812">
              <v:stroke endarrow="block"/>
            </v:shape>
            <v:shape id="_x0000_s1044" type="#_x0000_t34" style="position:absolute;left:3826;top:11827;width:270;height:1;rotation:90;flip:x" o:connectortype="elbow" adj="10720,238140000,-305120">
              <v:stroke endarrow="block"/>
            </v:shape>
            <v:shape id="_x0000_s1045" type="#_x0000_t34" style="position:absolute;left:3671;top:13410;width:574;height:7;rotation:90" o:connectortype="elbow" adj=",-38444914,-143561">
              <v:stroke endarrow="block"/>
            </v:shape>
            <v:shape id="_x0000_s1046" type="#_x0000_t32" style="position:absolute;left:8395;top:13165;width:418;height:1;rotation:90" o:connectortype="elbow" adj="-437012,-1,-437012">
              <v:stroke endarrow="block"/>
            </v:shape>
            <v:shape id="_x0000_s1047" type="#_x0000_t32" style="position:absolute;left:3830;top:7574;width:249;height:1;rotation:90" o:connectortype="elbow" adj="-330333,-1,-330333">
              <v:stroke endarrow="block"/>
            </v:shape>
            <v:shape id="_x0000_s1048" type="#_x0000_t32" style="position:absolute;left:3828;top:6121;width:254;height:1;rotation:90" o:connectortype="elbow" adj="-323830,-1,-323830">
              <v:stroke endarrow="block"/>
            </v:shape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049" type="#_x0000_t117" style="position:absolute;left:2208;top:2246;width:3492;height:1092">
              <v:textbox style="mso-next-textbox:#_x0000_s1049">
                <w:txbxContent>
                  <w:p w:rsidR="00425462" w:rsidRPr="00D875FD" w:rsidRDefault="00425462" w:rsidP="00425462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標楷體" w:eastAsia="標楷體" w:hAnsi="標楷體"/>
                        <w:color w:val="000000"/>
                        <w:kern w:val="0"/>
                        <w:szCs w:val="24"/>
                      </w:rPr>
                    </w:pP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轉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介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單位</w:t>
                    </w: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至</w:t>
                    </w:r>
                    <w:proofErr w:type="gramStart"/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醫</w:t>
                    </w:r>
                    <w:proofErr w:type="gramEnd"/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事人員溝通平台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開立轉診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單</w:t>
                    </w:r>
                  </w:p>
                  <w:p w:rsidR="00425462" w:rsidRPr="00BB4080" w:rsidRDefault="00425462" w:rsidP="00425462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 id="_x0000_s1050" type="#_x0000_t32" style="position:absolute;left:3840;top:3452;width:229;height:1;rotation:90" o:connectortype="elbow" adj="-359183,-1,-359183">
              <v:stroke endarrow="block"/>
            </v:shape>
            <w10:wrap type="square"/>
          </v:group>
        </w:pict>
      </w:r>
    </w:p>
    <w:sectPr w:rsidR="00425462" w:rsidSect="00425462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843" w:rsidRDefault="00630843" w:rsidP="00E11147">
      <w:r>
        <w:separator/>
      </w:r>
    </w:p>
  </w:endnote>
  <w:endnote w:type="continuationSeparator" w:id="0">
    <w:p w:rsidR="00630843" w:rsidRDefault="00630843" w:rsidP="00E1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843" w:rsidRDefault="00630843" w:rsidP="00E11147">
      <w:r>
        <w:separator/>
      </w:r>
    </w:p>
  </w:footnote>
  <w:footnote w:type="continuationSeparator" w:id="0">
    <w:p w:rsidR="00630843" w:rsidRDefault="00630843" w:rsidP="00E11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462"/>
    <w:rsid w:val="00425462"/>
    <w:rsid w:val="00567773"/>
    <w:rsid w:val="005E25DF"/>
    <w:rsid w:val="00630843"/>
    <w:rsid w:val="00CC636B"/>
    <w:rsid w:val="00E1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44">
          <o:proxy start="" idref="#_x0000_s1031" connectloc="2"/>
          <o:proxy end="" idref="#_x0000_s1039" connectloc="0"/>
        </o:r>
        <o:r id="V:Rule12" type="connector" idref="#_x0000_s1048">
          <o:proxy start="" idref="#_x0000_s1028" connectloc="2"/>
          <o:proxy end="" idref="#_x0000_s1029" connectloc="0"/>
        </o:r>
        <o:r id="V:Rule13" type="connector" idref="#_x0000_s1046">
          <o:proxy start="" idref="#_x0000_s1041" connectloc="2"/>
          <o:proxy end="" idref="#_x0000_s1042" connectloc="0"/>
        </o:r>
        <o:r id="V:Rule14" type="connector" idref="#_x0000_s1045">
          <o:proxy start="" idref="#_x0000_s1039" connectloc="2"/>
          <o:proxy end="" idref="#_x0000_s1040" connectloc="0"/>
        </o:r>
        <o:r id="V:Rule15" type="connector" idref="#_x0000_s1043">
          <o:proxy start="" idref="#_x0000_s1035" connectloc="2"/>
          <o:proxy end="" idref="#_x0000_s1041" connectloc="0"/>
        </o:r>
        <o:r id="V:Rule16" type="connector" idref="#_x0000_s1034">
          <o:proxy start="" idref="#_x0000_s1030" connectloc="2"/>
          <o:proxy end="" idref="#_x0000_s1031" connectloc="0"/>
        </o:r>
        <o:r id="V:Rule17" type="connector" idref="#_x0000_s1047">
          <o:proxy start="" idref="#_x0000_s1029" connectloc="2"/>
          <o:proxy end="" idref="#_x0000_s1030" connectloc="0"/>
        </o:r>
        <o:r id="V:Rule18" type="connector" idref="#_x0000_s1050">
          <o:proxy start="" idref="#_x0000_s1049" connectloc="2"/>
          <o:proxy end="" idref="#_x0000_s1028" connectloc="0"/>
        </o:r>
        <o:r id="V:Rule19" type="connector" idref="#_x0000_s1036">
          <o:proxy start="" idref="#_x0000_s1032" connectloc="2"/>
          <o:proxy end="" idref="#_x0000_s1035" connectloc="0"/>
        </o:r>
        <o:r id="V:Rule20" type="connector" idref="#_x0000_s1033">
          <o:proxy start="" idref="#_x0000_s1030" connectloc="3"/>
          <o:proxy end="" idref="#_x0000_s1032" connectloc="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46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11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1114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11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1114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2019-01-22T00:09:00Z</dcterms:created>
  <dcterms:modified xsi:type="dcterms:W3CDTF">2019-01-30T01:29:00Z</dcterms:modified>
</cp:coreProperties>
</file>