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85" w:rsidRDefault="00B75485" w:rsidP="00B75485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141C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5B014A" w:rsidRPr="00530C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醫院以病人為中心門診整合照護</w:t>
      </w:r>
    </w:p>
    <w:p w:rsidR="005B014A" w:rsidRPr="003F00C6" w:rsidRDefault="005B014A" w:rsidP="005B014A">
      <w:pPr>
        <w:tabs>
          <w:tab w:val="left" w:pos="567"/>
        </w:tabs>
        <w:snapToGrid w:val="0"/>
        <w:spacing w:line="400" w:lineRule="atLeast"/>
        <w:rPr>
          <w:rFonts w:ascii="標楷體" w:eastAsia="標楷體" w:hAnsi="標楷體" w:cs="Arial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>壹、</w:t>
      </w:r>
      <w:r w:rsidRPr="003F00C6">
        <w:rPr>
          <w:rFonts w:ascii="標楷體" w:eastAsia="標楷體" w:hAnsi="標楷體" w:cs="Arial" w:hint="eastAsia"/>
          <w:szCs w:val="24"/>
        </w:rPr>
        <w:t>目的：</w:t>
      </w:r>
    </w:p>
    <w:p w:rsidR="005B014A" w:rsidRPr="003F00C6" w:rsidRDefault="005B014A" w:rsidP="00DD265D">
      <w:pPr>
        <w:numPr>
          <w:ilvl w:val="0"/>
          <w:numId w:val="1"/>
        </w:numPr>
        <w:tabs>
          <w:tab w:val="left" w:pos="709"/>
        </w:tabs>
        <w:snapToGrid w:val="0"/>
        <w:spacing w:line="400" w:lineRule="atLeast"/>
        <w:ind w:left="1276" w:hanging="1052"/>
        <w:jc w:val="both"/>
        <w:rPr>
          <w:rFonts w:ascii="標楷體" w:eastAsia="標楷體" w:hAnsi="標楷體" w:cs="Arial"/>
          <w:szCs w:val="24"/>
        </w:rPr>
      </w:pPr>
      <w:r w:rsidRPr="003F00C6">
        <w:rPr>
          <w:rFonts w:ascii="標楷體" w:eastAsia="標楷體" w:hAnsi="標楷體" w:cs="Arial" w:hint="eastAsia"/>
          <w:szCs w:val="24"/>
        </w:rPr>
        <w:t>提供多重慢性病人</w:t>
      </w:r>
      <w:proofErr w:type="gramStart"/>
      <w:r w:rsidRPr="003F00C6">
        <w:rPr>
          <w:rFonts w:ascii="標楷體" w:eastAsia="標楷體" w:hAnsi="標楷體" w:cs="Arial" w:hint="eastAsia"/>
          <w:szCs w:val="24"/>
        </w:rPr>
        <w:t>適切及良好</w:t>
      </w:r>
      <w:proofErr w:type="gramEnd"/>
      <w:r w:rsidRPr="003F00C6">
        <w:rPr>
          <w:rFonts w:ascii="標楷體" w:eastAsia="標楷體" w:hAnsi="標楷體" w:cs="Arial" w:hint="eastAsia"/>
          <w:szCs w:val="24"/>
        </w:rPr>
        <w:t>的醫療服務，避免重複或不當的醫療處置與</w:t>
      </w:r>
    </w:p>
    <w:p w:rsidR="00DD265D" w:rsidRPr="003F00C6" w:rsidRDefault="00DD265D" w:rsidP="00DD265D">
      <w:pPr>
        <w:tabs>
          <w:tab w:val="left" w:pos="709"/>
        </w:tabs>
        <w:snapToGrid w:val="0"/>
        <w:spacing w:line="400" w:lineRule="atLeast"/>
        <w:ind w:left="224"/>
        <w:jc w:val="both"/>
        <w:rPr>
          <w:rFonts w:ascii="標楷體" w:eastAsia="標楷體" w:hAnsi="標楷體" w:cs="Arial"/>
          <w:szCs w:val="24"/>
        </w:rPr>
      </w:pPr>
      <w:r w:rsidRPr="003F00C6">
        <w:rPr>
          <w:rFonts w:ascii="標楷體" w:eastAsia="標楷體" w:hAnsi="標楷體" w:cs="Arial" w:hint="eastAsia"/>
          <w:szCs w:val="24"/>
        </w:rPr>
        <w:t xml:space="preserve">    用藥安全。</w:t>
      </w:r>
    </w:p>
    <w:p w:rsidR="005B014A" w:rsidRPr="003F00C6" w:rsidRDefault="005B014A" w:rsidP="005B014A">
      <w:pPr>
        <w:numPr>
          <w:ilvl w:val="0"/>
          <w:numId w:val="1"/>
        </w:numPr>
        <w:tabs>
          <w:tab w:val="left" w:pos="709"/>
        </w:tabs>
        <w:snapToGrid w:val="0"/>
        <w:spacing w:line="400" w:lineRule="atLeast"/>
        <w:ind w:left="1276" w:hanging="1052"/>
        <w:rPr>
          <w:rFonts w:ascii="標楷體" w:eastAsia="標楷體" w:hAnsi="標楷體" w:cs="Arial"/>
          <w:szCs w:val="24"/>
        </w:rPr>
      </w:pPr>
      <w:r w:rsidRPr="003F00C6">
        <w:rPr>
          <w:rFonts w:ascii="標楷體" w:eastAsia="標楷體" w:hAnsi="標楷體" w:cs="Arial" w:hint="eastAsia"/>
          <w:szCs w:val="24"/>
        </w:rPr>
        <w:t>提供</w:t>
      </w:r>
      <w:proofErr w:type="gramStart"/>
      <w:r w:rsidRPr="003F00C6">
        <w:rPr>
          <w:rFonts w:ascii="標楷體" w:eastAsia="標楷體" w:hAnsi="標楷體" w:cs="Arial" w:hint="eastAsia"/>
          <w:szCs w:val="24"/>
        </w:rPr>
        <w:t>整合式照護</w:t>
      </w:r>
      <w:proofErr w:type="gramEnd"/>
      <w:r w:rsidRPr="003F00C6">
        <w:rPr>
          <w:rFonts w:ascii="標楷體" w:eastAsia="標楷體" w:hAnsi="標楷體" w:cs="Arial" w:hint="eastAsia"/>
          <w:szCs w:val="24"/>
        </w:rPr>
        <w:t>服務，以達全人照護理念。</w:t>
      </w:r>
    </w:p>
    <w:p w:rsidR="005B014A" w:rsidRPr="003F00C6" w:rsidRDefault="005B014A" w:rsidP="005B014A">
      <w:pPr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hint="eastAsia"/>
          <w:szCs w:val="24"/>
        </w:rPr>
        <w:t>貳</w:t>
      </w:r>
      <w:r w:rsidRPr="003F00C6">
        <w:rPr>
          <w:rFonts w:ascii="標楷體" w:eastAsia="標楷體" w:hAnsi="標楷體" w:cs="Times New Roman" w:hint="eastAsia"/>
          <w:szCs w:val="24"/>
        </w:rPr>
        <w:t>、特色：</w:t>
      </w:r>
    </w:p>
    <w:p w:rsidR="005B014A" w:rsidRPr="003F00C6" w:rsidRDefault="005B014A" w:rsidP="005B014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>一、由個案管理師專人協助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安排約診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，</w:t>
      </w:r>
      <w:r w:rsidRPr="003F00C6">
        <w:rPr>
          <w:rFonts w:ascii="標楷體" w:eastAsia="標楷體" w:hAnsi="標楷體" w:cs="Times New Roman" w:hint="eastAsia"/>
          <w:color w:val="000000"/>
          <w:szCs w:val="24"/>
        </w:rPr>
        <w:t>提供個別性、持續性、完整性照護</w:t>
      </w:r>
      <w:r w:rsidRPr="003F00C6">
        <w:rPr>
          <w:rFonts w:ascii="標楷體" w:eastAsia="標楷體" w:hAnsi="標楷體" w:cs="Times New Roman" w:hint="eastAsia"/>
          <w:szCs w:val="24"/>
        </w:rPr>
        <w:t>，達成以個案為中心的全人照護。</w:t>
      </w:r>
    </w:p>
    <w:p w:rsidR="005B014A" w:rsidRPr="003F00C6" w:rsidRDefault="005B014A" w:rsidP="005B014A">
      <w:pPr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 xml:space="preserve">  二、避免重複用藥或檢查，提升病人安全。</w:t>
      </w:r>
    </w:p>
    <w:p w:rsidR="005B014A" w:rsidRPr="003F00C6" w:rsidRDefault="005B014A" w:rsidP="005B014A">
      <w:pPr>
        <w:spacing w:line="276" w:lineRule="auto"/>
        <w:ind w:left="720" w:right="-1" w:hangingChars="300" w:hanging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 xml:space="preserve">  三、配合總額支付制度，提供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整合式照護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服務，促進本院各專科醫師之適當整合。</w:t>
      </w:r>
    </w:p>
    <w:p w:rsidR="005B014A" w:rsidRPr="003F00C6" w:rsidRDefault="005B014A" w:rsidP="005B014A">
      <w:pPr>
        <w:spacing w:line="276" w:lineRule="auto"/>
        <w:ind w:left="720" w:right="-1" w:hangingChars="300" w:hanging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 xml:space="preserve">  四、提供多重慢性病人適切、效率、品質良好之醫療整合服務，減少病人就醫之奔波。</w:t>
      </w:r>
    </w:p>
    <w:p w:rsidR="005B014A" w:rsidRPr="003F00C6" w:rsidRDefault="005B014A" w:rsidP="005B014A">
      <w:pPr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 xml:space="preserve">  五、多科專業團隊(醫師、藥師、營養師、</w:t>
      </w:r>
      <w:r w:rsidR="00065DB0" w:rsidRPr="003F00C6">
        <w:rPr>
          <w:rFonts w:ascii="標楷體" w:eastAsia="標楷體" w:hAnsi="標楷體" w:cs="Times New Roman" w:hint="eastAsia"/>
          <w:szCs w:val="24"/>
        </w:rPr>
        <w:t>社工師、</w:t>
      </w:r>
      <w:r w:rsidRPr="003F00C6">
        <w:rPr>
          <w:rFonts w:ascii="標楷體" w:eastAsia="標楷體" w:hAnsi="標楷體" w:cs="Times New Roman" w:hint="eastAsia"/>
          <w:szCs w:val="24"/>
        </w:rPr>
        <w:t>復健師及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個管師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)共同照護。</w:t>
      </w:r>
    </w:p>
    <w:p w:rsidR="005B014A" w:rsidRPr="003F00C6" w:rsidRDefault="005B014A" w:rsidP="005B014A">
      <w:pPr>
        <w:ind w:firstLineChars="100" w:firstLine="240"/>
        <w:rPr>
          <w:rFonts w:ascii="標楷體" w:eastAsia="標楷體" w:hAnsi="標楷體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>六、藉由完善的個案管理及追蹤，提供適切轉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介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與專業諮詢。</w:t>
      </w:r>
    </w:p>
    <w:p w:rsidR="005B014A" w:rsidRPr="003F00C6" w:rsidRDefault="005B014A" w:rsidP="005B014A">
      <w:pPr>
        <w:snapToGrid w:val="0"/>
        <w:spacing w:line="400" w:lineRule="atLeast"/>
        <w:rPr>
          <w:rFonts w:ascii="標楷體" w:eastAsia="標楷體" w:hAnsi="標楷體" w:cs="Times New Roman"/>
          <w:bCs/>
          <w:color w:val="000000"/>
          <w:szCs w:val="24"/>
        </w:rPr>
      </w:pPr>
      <w:r w:rsidRPr="003F00C6">
        <w:rPr>
          <w:rFonts w:ascii="標楷體" w:eastAsia="標楷體" w:hAnsi="標楷體" w:hint="eastAsia"/>
          <w:color w:val="000000"/>
          <w:szCs w:val="24"/>
        </w:rPr>
        <w:t>參</w:t>
      </w:r>
      <w:r w:rsidRPr="003F00C6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3F00C6">
        <w:rPr>
          <w:rFonts w:ascii="標楷體" w:eastAsia="標楷體" w:hAnsi="標楷體" w:cs="Times New Roman" w:hint="eastAsia"/>
          <w:bCs/>
          <w:color w:val="000000"/>
          <w:szCs w:val="24"/>
        </w:rPr>
        <w:t>整合照護團隊:</w:t>
      </w:r>
    </w:p>
    <w:p w:rsidR="005B014A" w:rsidRPr="003F00C6" w:rsidRDefault="005B014A" w:rsidP="005B014A">
      <w:pPr>
        <w:snapToGrid w:val="0"/>
        <w:spacing w:line="40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color w:val="000000"/>
          <w:szCs w:val="24"/>
        </w:rPr>
        <w:t>本院整合照護團隊成員包含醫師、</w:t>
      </w:r>
      <w:r w:rsidRPr="003F00C6">
        <w:rPr>
          <w:rFonts w:ascii="標楷體" w:eastAsia="標楷體" w:hAnsi="標楷體" w:cs="Times New Roman" w:hint="eastAsia"/>
          <w:szCs w:val="24"/>
        </w:rPr>
        <w:t>個案管理師、復健治療師、營養師、藥劑師及</w:t>
      </w:r>
      <w:r w:rsidR="00065DB0" w:rsidRPr="003F00C6">
        <w:rPr>
          <w:rFonts w:ascii="標楷體" w:eastAsia="標楷體" w:hAnsi="標楷體" w:cs="Times New Roman" w:hint="eastAsia"/>
          <w:szCs w:val="24"/>
        </w:rPr>
        <w:t>社工師</w:t>
      </w:r>
      <w:r w:rsidRPr="003F00C6">
        <w:rPr>
          <w:rFonts w:ascii="標楷體" w:eastAsia="標楷體" w:hAnsi="標楷體" w:cs="Times New Roman" w:hint="eastAsia"/>
          <w:szCs w:val="24"/>
        </w:rPr>
        <w:t>等</w:t>
      </w:r>
      <w:r w:rsidRPr="003F00C6">
        <w:rPr>
          <w:rFonts w:ascii="標楷體" w:eastAsia="標楷體" w:hAnsi="標楷體" w:cs="Times New Roman" w:hint="eastAsia"/>
          <w:color w:val="000000"/>
          <w:szCs w:val="24"/>
        </w:rPr>
        <w:t>團隊成員，依各科專業評估個案狀況與照護需求，經由溝通整合的過程，訂定專業團隊共同的照護目標與計劃，再分別由各專業人員進行服務。</w:t>
      </w:r>
    </w:p>
    <w:p w:rsidR="005B014A" w:rsidRPr="003F00C6" w:rsidRDefault="00EC7B71" w:rsidP="00E409AC">
      <w:pPr>
        <w:snapToGrid w:val="0"/>
        <w:spacing w:line="400" w:lineRule="atLeast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hint="eastAsia"/>
          <w:szCs w:val="24"/>
        </w:rPr>
        <w:t>肆</w:t>
      </w:r>
      <w:r w:rsidR="005B014A" w:rsidRPr="003F00C6">
        <w:rPr>
          <w:rFonts w:ascii="標楷體" w:eastAsia="標楷體" w:hAnsi="標楷體" w:cs="Times New Roman" w:hint="eastAsia"/>
          <w:szCs w:val="24"/>
        </w:rPr>
        <w:t>、服務對象：</w:t>
      </w:r>
    </w:p>
    <w:p w:rsidR="005B014A" w:rsidRPr="003F00C6" w:rsidRDefault="005B014A" w:rsidP="002F50A1">
      <w:pPr>
        <w:snapToGrid w:val="0"/>
        <w:spacing w:line="400" w:lineRule="atLeas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 xml:space="preserve">    依據中央健保署北區分局</w:t>
      </w:r>
      <w:r w:rsidR="002F50A1" w:rsidRPr="003F00C6">
        <w:rPr>
          <w:rFonts w:ascii="標楷體" w:eastAsia="標楷體" w:hAnsi="標楷體" w:hint="eastAsia"/>
          <w:szCs w:val="24"/>
        </w:rPr>
        <w:t>保險對象最近</w:t>
      </w:r>
      <w:r w:rsidR="002F50A1" w:rsidRPr="003F00C6">
        <w:rPr>
          <w:rFonts w:ascii="標楷體" w:eastAsia="標楷體" w:hAnsi="標楷體"/>
          <w:szCs w:val="24"/>
        </w:rPr>
        <w:t>3</w:t>
      </w:r>
      <w:r w:rsidR="002F50A1" w:rsidRPr="003F00C6">
        <w:rPr>
          <w:rFonts w:ascii="標楷體" w:eastAsia="標楷體" w:hAnsi="標楷體" w:hint="eastAsia"/>
          <w:szCs w:val="24"/>
        </w:rPr>
        <w:t>個月符合下列條件之</w:t>
      </w:r>
      <w:proofErr w:type="gramStart"/>
      <w:r w:rsidR="002F50A1" w:rsidRPr="003F00C6">
        <w:rPr>
          <w:rFonts w:ascii="標楷體" w:eastAsia="標楷體" w:hAnsi="標楷體" w:hint="eastAsia"/>
          <w:szCs w:val="24"/>
        </w:rPr>
        <w:t>一</w:t>
      </w:r>
      <w:proofErr w:type="gramEnd"/>
      <w:r w:rsidR="002F50A1" w:rsidRPr="003F00C6">
        <w:rPr>
          <w:rFonts w:ascii="標楷體" w:eastAsia="標楷體" w:hAnsi="標楷體" w:hint="eastAsia"/>
          <w:szCs w:val="24"/>
        </w:rPr>
        <w:t>者，得予以</w:t>
      </w:r>
      <w:proofErr w:type="gramStart"/>
      <w:r w:rsidR="002F50A1" w:rsidRPr="003F00C6">
        <w:rPr>
          <w:rFonts w:ascii="標楷體" w:eastAsia="標楷體" w:hAnsi="標楷體" w:hint="eastAsia"/>
          <w:szCs w:val="24"/>
        </w:rPr>
        <w:t>收案照護</w:t>
      </w:r>
      <w:proofErr w:type="gramEnd"/>
    </w:p>
    <w:p w:rsidR="00065DB0" w:rsidRPr="003F00C6" w:rsidRDefault="002F50A1" w:rsidP="00171E94">
      <w:pPr>
        <w:pStyle w:val="Default"/>
        <w:spacing w:after="128"/>
        <w:ind w:leftChars="118" w:left="708" w:hangingChars="177" w:hanging="425"/>
        <w:rPr>
          <w:rFonts w:hAnsi="標楷體"/>
        </w:rPr>
      </w:pPr>
      <w:proofErr w:type="gramStart"/>
      <w:r w:rsidRPr="003F00C6">
        <w:rPr>
          <w:rFonts w:hAnsi="標楷體" w:hint="eastAsia"/>
        </w:rPr>
        <w:t>ㄧ</w:t>
      </w:r>
      <w:proofErr w:type="gramEnd"/>
      <w:r w:rsidRPr="003F00C6">
        <w:rPr>
          <w:rFonts w:hAnsi="標楷體" w:hint="eastAsia"/>
        </w:rPr>
        <w:t>、</w:t>
      </w:r>
      <w:r w:rsidR="00065DB0" w:rsidRPr="003F00C6">
        <w:rPr>
          <w:rFonts w:hAnsi="標楷體" w:hint="eastAsia"/>
        </w:rPr>
        <w:t>給藥日份</w:t>
      </w:r>
      <w:proofErr w:type="gramStart"/>
      <w:r w:rsidR="00065DB0" w:rsidRPr="003F00C6">
        <w:rPr>
          <w:rFonts w:hAnsi="標楷體" w:hint="eastAsia"/>
        </w:rPr>
        <w:t>≧</w:t>
      </w:r>
      <w:proofErr w:type="gramEnd"/>
      <w:r w:rsidR="00065DB0" w:rsidRPr="003F00C6">
        <w:rPr>
          <w:rFonts w:hAnsi="標楷體"/>
        </w:rPr>
        <w:t>28</w:t>
      </w:r>
      <w:r w:rsidR="00065DB0" w:rsidRPr="003F00C6">
        <w:rPr>
          <w:rFonts w:hAnsi="標楷體" w:hint="eastAsia"/>
        </w:rPr>
        <w:t>天之案件中，最近</w:t>
      </w:r>
      <w:r w:rsidR="00065DB0" w:rsidRPr="003F00C6">
        <w:rPr>
          <w:rFonts w:hAnsi="標楷體"/>
        </w:rPr>
        <w:t>3</w:t>
      </w:r>
      <w:r w:rsidR="00065DB0" w:rsidRPr="003F00C6">
        <w:rPr>
          <w:rFonts w:hAnsi="標楷體" w:hint="eastAsia"/>
        </w:rPr>
        <w:t>個月申報之主診斷中有</w:t>
      </w:r>
      <w:r w:rsidR="00065DB0" w:rsidRPr="003F00C6">
        <w:rPr>
          <w:rFonts w:hAnsi="標楷體"/>
        </w:rPr>
        <w:t>3</w:t>
      </w:r>
      <w:r w:rsidR="00065DB0" w:rsidRPr="003F00C6">
        <w:rPr>
          <w:rFonts w:hAnsi="標楷體" w:hint="eastAsia"/>
        </w:rPr>
        <w:t>種</w:t>
      </w:r>
      <w:r w:rsidR="00065DB0" w:rsidRPr="003F00C6">
        <w:rPr>
          <w:rFonts w:hAnsi="標楷體"/>
        </w:rPr>
        <w:t>(</w:t>
      </w:r>
      <w:r w:rsidR="00065DB0" w:rsidRPr="003F00C6">
        <w:rPr>
          <w:rFonts w:hAnsi="標楷體" w:hint="eastAsia"/>
        </w:rPr>
        <w:t>含</w:t>
      </w:r>
      <w:r w:rsidR="00065DB0" w:rsidRPr="003F00C6">
        <w:rPr>
          <w:rFonts w:hAnsi="標楷體"/>
        </w:rPr>
        <w:t>)</w:t>
      </w:r>
      <w:r w:rsidR="00065DB0" w:rsidRPr="003F00C6">
        <w:rPr>
          <w:rFonts w:hAnsi="標楷體" w:hint="eastAsia"/>
        </w:rPr>
        <w:t>以上慢性病，並經</w:t>
      </w:r>
      <w:r w:rsidR="00065DB0" w:rsidRPr="003F00C6">
        <w:rPr>
          <w:rFonts w:hAnsi="標楷體"/>
        </w:rPr>
        <w:t>2</w:t>
      </w:r>
      <w:r w:rsidR="00065DB0" w:rsidRPr="003F00C6">
        <w:rPr>
          <w:rFonts w:hAnsi="標楷體" w:hint="eastAsia"/>
        </w:rPr>
        <w:t>位</w:t>
      </w:r>
      <w:r w:rsidR="00065DB0" w:rsidRPr="003F00C6">
        <w:rPr>
          <w:rFonts w:hAnsi="標楷體"/>
        </w:rPr>
        <w:t>(</w:t>
      </w:r>
      <w:r w:rsidR="00065DB0" w:rsidRPr="003F00C6">
        <w:rPr>
          <w:rFonts w:hAnsi="標楷體" w:hint="eastAsia"/>
        </w:rPr>
        <w:t>含</w:t>
      </w:r>
      <w:r w:rsidR="00065DB0" w:rsidRPr="003F00C6">
        <w:rPr>
          <w:rFonts w:hAnsi="標楷體"/>
        </w:rPr>
        <w:t>)</w:t>
      </w:r>
      <w:r w:rsidR="00065DB0" w:rsidRPr="003F00C6">
        <w:rPr>
          <w:rFonts w:hAnsi="標楷體" w:hint="eastAsia"/>
        </w:rPr>
        <w:t>以上醫師看診者。</w:t>
      </w:r>
    </w:p>
    <w:p w:rsidR="005B014A" w:rsidRPr="003F00C6" w:rsidRDefault="002F50A1" w:rsidP="00171E94">
      <w:pPr>
        <w:pStyle w:val="Default"/>
        <w:ind w:leftChars="118" w:left="708" w:hangingChars="177" w:hanging="425"/>
        <w:rPr>
          <w:rFonts w:hAnsi="標楷體"/>
        </w:rPr>
      </w:pPr>
      <w:r w:rsidRPr="003F00C6">
        <w:rPr>
          <w:rFonts w:hAnsi="標楷體" w:hint="eastAsia"/>
        </w:rPr>
        <w:t>二、</w:t>
      </w:r>
      <w:r w:rsidR="00065DB0" w:rsidRPr="003F00C6">
        <w:rPr>
          <w:rFonts w:hAnsi="標楷體" w:hint="eastAsia"/>
        </w:rPr>
        <w:t>最近</w:t>
      </w:r>
      <w:r w:rsidR="00065DB0" w:rsidRPr="003F00C6">
        <w:rPr>
          <w:rFonts w:hAnsi="標楷體"/>
        </w:rPr>
        <w:t>3</w:t>
      </w:r>
      <w:r w:rsidR="00065DB0" w:rsidRPr="003F00C6">
        <w:rPr>
          <w:rFonts w:hAnsi="標楷體" w:hint="eastAsia"/>
        </w:rPr>
        <w:t>個月至少申報</w:t>
      </w:r>
      <w:r w:rsidR="00065DB0" w:rsidRPr="003F00C6">
        <w:rPr>
          <w:rFonts w:hAnsi="標楷體"/>
        </w:rPr>
        <w:t>2</w:t>
      </w:r>
      <w:r w:rsidR="00065DB0" w:rsidRPr="003F00C6">
        <w:rPr>
          <w:rFonts w:hAnsi="標楷體" w:hint="eastAsia"/>
        </w:rPr>
        <w:t>次</w:t>
      </w:r>
      <w:r w:rsidR="00065DB0" w:rsidRPr="003F00C6">
        <w:rPr>
          <w:rFonts w:hAnsi="標楷體"/>
        </w:rPr>
        <w:t>(</w:t>
      </w:r>
      <w:r w:rsidR="00065DB0" w:rsidRPr="003F00C6">
        <w:rPr>
          <w:rFonts w:hAnsi="標楷體" w:hint="eastAsia"/>
        </w:rPr>
        <w:t>含</w:t>
      </w:r>
      <w:r w:rsidR="00065DB0" w:rsidRPr="003F00C6">
        <w:rPr>
          <w:rFonts w:hAnsi="標楷體"/>
        </w:rPr>
        <w:t>)</w:t>
      </w:r>
      <w:r w:rsidR="00065DB0" w:rsidRPr="003F00C6">
        <w:rPr>
          <w:rFonts w:hAnsi="標楷體" w:hint="eastAsia"/>
        </w:rPr>
        <w:t>以上慢性病連續</w:t>
      </w:r>
      <w:proofErr w:type="gramStart"/>
      <w:r w:rsidR="00065DB0" w:rsidRPr="003F00C6">
        <w:rPr>
          <w:rFonts w:hAnsi="標楷體" w:hint="eastAsia"/>
        </w:rPr>
        <w:t>處方箋且最近</w:t>
      </w:r>
      <w:proofErr w:type="gramEnd"/>
      <w:r w:rsidR="00065DB0" w:rsidRPr="003F00C6">
        <w:rPr>
          <w:rFonts w:hAnsi="標楷體"/>
        </w:rPr>
        <w:t>3</w:t>
      </w:r>
      <w:r w:rsidR="00065DB0" w:rsidRPr="003F00C6">
        <w:rPr>
          <w:rFonts w:hAnsi="標楷體" w:hint="eastAsia"/>
        </w:rPr>
        <w:t>個月申報之慢性病連續處方</w:t>
      </w:r>
      <w:proofErr w:type="gramStart"/>
      <w:r w:rsidR="00065DB0" w:rsidRPr="003F00C6">
        <w:rPr>
          <w:rFonts w:hAnsi="標楷體" w:hint="eastAsia"/>
        </w:rPr>
        <w:t>箋</w:t>
      </w:r>
      <w:proofErr w:type="gramEnd"/>
      <w:r w:rsidR="00065DB0" w:rsidRPr="003F00C6">
        <w:rPr>
          <w:rFonts w:hAnsi="標楷體" w:hint="eastAsia"/>
        </w:rPr>
        <w:t>用藥之藥品</w:t>
      </w:r>
      <w:proofErr w:type="gramStart"/>
      <w:r w:rsidR="00065DB0" w:rsidRPr="003F00C6">
        <w:rPr>
          <w:rFonts w:hAnsi="標楷體" w:hint="eastAsia"/>
        </w:rPr>
        <w:t>品</w:t>
      </w:r>
      <w:proofErr w:type="gramEnd"/>
      <w:r w:rsidR="00065DB0" w:rsidRPr="003F00C6">
        <w:rPr>
          <w:rFonts w:hAnsi="標楷體" w:hint="eastAsia"/>
        </w:rPr>
        <w:t>項數合計達</w:t>
      </w:r>
      <w:r w:rsidR="00065DB0" w:rsidRPr="003F00C6">
        <w:rPr>
          <w:rFonts w:hAnsi="標楷體"/>
        </w:rPr>
        <w:t>10</w:t>
      </w:r>
      <w:r w:rsidR="00065DB0" w:rsidRPr="003F00C6">
        <w:rPr>
          <w:rFonts w:hAnsi="標楷體" w:hint="eastAsia"/>
        </w:rPr>
        <w:t>種</w:t>
      </w:r>
      <w:r w:rsidR="00065DB0" w:rsidRPr="003F00C6">
        <w:rPr>
          <w:rFonts w:hAnsi="標楷體"/>
        </w:rPr>
        <w:t>(</w:t>
      </w:r>
      <w:r w:rsidR="00065DB0" w:rsidRPr="003F00C6">
        <w:rPr>
          <w:rFonts w:hAnsi="標楷體" w:hint="eastAsia"/>
        </w:rPr>
        <w:t>含</w:t>
      </w:r>
      <w:r w:rsidR="00065DB0" w:rsidRPr="003F00C6">
        <w:rPr>
          <w:rFonts w:hAnsi="標楷體"/>
        </w:rPr>
        <w:t>)</w:t>
      </w:r>
      <w:r w:rsidR="00065DB0" w:rsidRPr="003F00C6">
        <w:rPr>
          <w:rFonts w:hAnsi="標楷體" w:hint="eastAsia"/>
        </w:rPr>
        <w:t>以上，並經</w:t>
      </w:r>
      <w:r w:rsidR="00065DB0" w:rsidRPr="003F00C6">
        <w:rPr>
          <w:rFonts w:hAnsi="標楷體"/>
        </w:rPr>
        <w:t>2</w:t>
      </w:r>
      <w:r w:rsidR="00065DB0" w:rsidRPr="003F00C6">
        <w:rPr>
          <w:rFonts w:hAnsi="標楷體" w:hint="eastAsia"/>
        </w:rPr>
        <w:t>位</w:t>
      </w:r>
      <w:r w:rsidR="00065DB0" w:rsidRPr="003F00C6">
        <w:rPr>
          <w:rFonts w:hAnsi="標楷體"/>
        </w:rPr>
        <w:t>(</w:t>
      </w:r>
      <w:r w:rsidR="00065DB0" w:rsidRPr="003F00C6">
        <w:rPr>
          <w:rFonts w:hAnsi="標楷體" w:hint="eastAsia"/>
        </w:rPr>
        <w:t>含</w:t>
      </w:r>
      <w:r w:rsidR="00065DB0" w:rsidRPr="003F00C6">
        <w:rPr>
          <w:rFonts w:hAnsi="標楷體"/>
        </w:rPr>
        <w:t>)</w:t>
      </w:r>
      <w:r w:rsidR="00065DB0" w:rsidRPr="003F00C6">
        <w:rPr>
          <w:rFonts w:hAnsi="標楷體" w:hint="eastAsia"/>
        </w:rPr>
        <w:t>以上醫師看診者。</w:t>
      </w:r>
    </w:p>
    <w:p w:rsidR="005B014A" w:rsidRPr="003F00C6" w:rsidRDefault="00EC7B71" w:rsidP="003F00C6">
      <w:pPr>
        <w:snapToGrid w:val="0"/>
        <w:spacing w:line="400" w:lineRule="atLeast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hint="eastAsia"/>
          <w:szCs w:val="24"/>
        </w:rPr>
        <w:t>伍</w:t>
      </w:r>
      <w:r w:rsidR="005B014A" w:rsidRPr="003F00C6">
        <w:rPr>
          <w:rFonts w:ascii="標楷體" w:eastAsia="標楷體" w:hAnsi="標楷體" w:cs="Times New Roman" w:hint="eastAsia"/>
          <w:szCs w:val="24"/>
        </w:rPr>
        <w:t>、整合照護門診運作：</w:t>
      </w:r>
    </w:p>
    <w:p w:rsidR="005B014A" w:rsidRPr="003F00C6" w:rsidRDefault="005B014A" w:rsidP="005B014A">
      <w:pPr>
        <w:snapToGrid w:val="0"/>
        <w:spacing w:line="40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>本院為提供患有</w:t>
      </w:r>
      <w:r w:rsidR="002F50A1" w:rsidRPr="003F00C6">
        <w:rPr>
          <w:rFonts w:ascii="標楷體" w:eastAsia="標楷體" w:hAnsi="標楷體" w:cs="Times New Roman" w:hint="eastAsia"/>
          <w:szCs w:val="24"/>
        </w:rPr>
        <w:t>3</w:t>
      </w:r>
      <w:r w:rsidRPr="003F00C6">
        <w:rPr>
          <w:rFonts w:ascii="標楷體" w:eastAsia="標楷體" w:hAnsi="標楷體" w:cs="Times New Roman" w:hint="eastAsia"/>
          <w:szCs w:val="24"/>
        </w:rPr>
        <w:t>種以上之慢性病及重大傷病病患一次看診之診療服務，經三高疾病整合門診、免疫風濕科重大門診及泌尿外科整合門診等醫師進行診治後，由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個管師彙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整醫囑單並協助完成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批價領藥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程序，針對個案提供整體性的醫療及建議，以達全人照護的理念。</w:t>
      </w:r>
    </w:p>
    <w:p w:rsidR="00141CFE" w:rsidRPr="003F00C6" w:rsidRDefault="00141CFE" w:rsidP="00141CFE">
      <w:pPr>
        <w:spacing w:line="276" w:lineRule="auto"/>
        <w:ind w:right="-1" w:firstLineChars="100" w:firstLine="240"/>
        <w:rPr>
          <w:rFonts w:ascii="標楷體" w:eastAsia="標楷體" w:hAnsi="標楷體" w:cs="Times New Roman"/>
          <w:szCs w:val="24"/>
        </w:rPr>
      </w:pPr>
    </w:p>
    <w:p w:rsidR="00D25D5E" w:rsidRPr="003F00C6" w:rsidRDefault="00141CFE" w:rsidP="00141CFE">
      <w:pPr>
        <w:spacing w:line="276" w:lineRule="auto"/>
        <w:ind w:right="-1" w:firstLineChars="100" w:firstLine="24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lastRenderedPageBreak/>
        <w:t>陸</w:t>
      </w:r>
      <w:r w:rsidR="00D25D5E" w:rsidRPr="003F00C6">
        <w:rPr>
          <w:rFonts w:ascii="標楷體" w:eastAsia="標楷體" w:hAnsi="標楷體" w:cs="Times New Roman" w:hint="eastAsia"/>
          <w:szCs w:val="24"/>
        </w:rPr>
        <w:t>、慢性疾病</w:t>
      </w:r>
      <w:proofErr w:type="gramStart"/>
      <w:r w:rsidR="00D25D5E" w:rsidRPr="003F00C6">
        <w:rPr>
          <w:rFonts w:ascii="標楷體" w:eastAsia="標楷體" w:hAnsi="標楷體" w:cs="Times New Roman" w:hint="eastAsia"/>
          <w:szCs w:val="24"/>
        </w:rPr>
        <w:t>個管師</w:t>
      </w:r>
      <w:proofErr w:type="gramEnd"/>
      <w:r w:rsidR="00D25D5E" w:rsidRPr="003F00C6">
        <w:rPr>
          <w:rFonts w:ascii="標楷體" w:eastAsia="標楷體" w:hAnsi="標楷體" w:cs="Times New Roman" w:hint="eastAsia"/>
          <w:szCs w:val="24"/>
        </w:rPr>
        <w:t>服務窗口:</w:t>
      </w:r>
    </w:p>
    <w:p w:rsidR="00D25D5E" w:rsidRPr="00E25D62" w:rsidRDefault="00141CFE" w:rsidP="00E35DBD">
      <w:pPr>
        <w:spacing w:line="276" w:lineRule="auto"/>
        <w:ind w:right="-1"/>
        <w:rPr>
          <w:rFonts w:ascii="標楷體" w:eastAsia="標楷體" w:hAnsi="標楷體" w:cs="Times New Roman"/>
          <w:color w:val="000000" w:themeColor="text1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 xml:space="preserve">      </w:t>
      </w:r>
      <w:r w:rsidR="00D25D5E" w:rsidRPr="00E25D62">
        <w:rPr>
          <w:rFonts w:ascii="標楷體" w:eastAsia="標楷體" w:hAnsi="標楷體" w:cs="Times New Roman" w:hint="eastAsia"/>
          <w:color w:val="000000" w:themeColor="text1"/>
          <w:szCs w:val="24"/>
        </w:rPr>
        <w:t>地點:A棟</w:t>
      </w:r>
      <w:r w:rsidR="002F50A1" w:rsidRPr="00E25D62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091E60" w:rsidRPr="00E25D62">
        <w:rPr>
          <w:rFonts w:ascii="標楷體" w:eastAsia="標楷體" w:hAnsi="標楷體" w:cs="Times New Roman" w:hint="eastAsia"/>
          <w:color w:val="000000" w:themeColor="text1"/>
          <w:szCs w:val="24"/>
        </w:rPr>
        <w:t>樓 慢性病</w:t>
      </w:r>
      <w:r w:rsidR="00D25D5E" w:rsidRPr="00E25D62">
        <w:rPr>
          <w:rFonts w:ascii="標楷體" w:eastAsia="標楷體" w:hAnsi="標楷體" w:cs="Times New Roman" w:hint="eastAsia"/>
          <w:color w:val="000000" w:themeColor="text1"/>
          <w:szCs w:val="24"/>
        </w:rPr>
        <w:t>整合</w:t>
      </w:r>
      <w:r w:rsidR="00091E60" w:rsidRPr="00E25D62">
        <w:rPr>
          <w:rFonts w:ascii="標楷體" w:eastAsia="標楷體" w:hAnsi="標楷體" w:cs="Times New Roman" w:hint="eastAsia"/>
          <w:color w:val="000000" w:themeColor="text1"/>
          <w:szCs w:val="24"/>
        </w:rPr>
        <w:t>照護1號</w:t>
      </w:r>
      <w:r w:rsidR="00D25D5E" w:rsidRPr="00E25D62">
        <w:rPr>
          <w:rFonts w:ascii="標楷體" w:eastAsia="標楷體" w:hAnsi="標楷體" w:cs="Times New Roman" w:hint="eastAsia"/>
          <w:color w:val="000000" w:themeColor="text1"/>
          <w:szCs w:val="24"/>
        </w:rPr>
        <w:t>櫃檯</w:t>
      </w:r>
    </w:p>
    <w:p w:rsidR="007A1C50" w:rsidRPr="003F00C6" w:rsidRDefault="00D25D5E" w:rsidP="007A1C50">
      <w:pPr>
        <w:spacing w:line="276" w:lineRule="auto"/>
        <w:ind w:right="-1" w:firstLineChars="300" w:firstLine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>服務專線:(03)5527000 分機1342</w:t>
      </w:r>
    </w:p>
    <w:p w:rsidR="007A1C50" w:rsidRPr="003F00C6" w:rsidRDefault="007A1C50" w:rsidP="007A1C50">
      <w:pPr>
        <w:spacing w:line="276" w:lineRule="auto"/>
        <w:ind w:right="-1" w:firstLineChars="300" w:firstLine="720"/>
        <w:rPr>
          <w:rFonts w:ascii="標楷體" w:eastAsia="標楷體" w:hAnsi="標楷體" w:cs="Times New Roman"/>
          <w:szCs w:val="24"/>
        </w:rPr>
      </w:pPr>
      <w:r w:rsidRPr="003F00C6">
        <w:rPr>
          <w:rFonts w:ascii="標楷體" w:eastAsia="標楷體" w:hAnsi="標楷體" w:cs="Times New Roman" w:hint="eastAsia"/>
          <w:szCs w:val="24"/>
        </w:rPr>
        <w:t>時間:每週</w:t>
      </w:r>
      <w:proofErr w:type="gramStart"/>
      <w:r w:rsidRPr="003F00C6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3F00C6">
        <w:rPr>
          <w:rFonts w:ascii="標楷體" w:eastAsia="標楷體" w:hAnsi="標楷體" w:cs="Times New Roman" w:hint="eastAsia"/>
          <w:szCs w:val="24"/>
        </w:rPr>
        <w:t>至週五上午9:00-12:00</w:t>
      </w:r>
    </w:p>
    <w:sectPr w:rsidR="007A1C50" w:rsidRPr="003F00C6" w:rsidSect="00983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BE" w:rsidRDefault="008570BE" w:rsidP="00B540FB">
      <w:r>
        <w:separator/>
      </w:r>
    </w:p>
  </w:endnote>
  <w:endnote w:type="continuationSeparator" w:id="0">
    <w:p w:rsidR="008570BE" w:rsidRDefault="008570BE" w:rsidP="00B5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BE" w:rsidRDefault="008570BE" w:rsidP="00B540FB">
      <w:r>
        <w:separator/>
      </w:r>
    </w:p>
  </w:footnote>
  <w:footnote w:type="continuationSeparator" w:id="0">
    <w:p w:rsidR="008570BE" w:rsidRDefault="008570BE" w:rsidP="00B54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10E"/>
    <w:multiLevelType w:val="hybridMultilevel"/>
    <w:tmpl w:val="63FA01E8"/>
    <w:lvl w:ilvl="0" w:tplc="BCBCF79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14A"/>
    <w:rsid w:val="00047D01"/>
    <w:rsid w:val="000636FB"/>
    <w:rsid w:val="00065DB0"/>
    <w:rsid w:val="00091E60"/>
    <w:rsid w:val="00141CFE"/>
    <w:rsid w:val="00171E94"/>
    <w:rsid w:val="001B4CCD"/>
    <w:rsid w:val="002F50A1"/>
    <w:rsid w:val="003215E0"/>
    <w:rsid w:val="003F00C6"/>
    <w:rsid w:val="0044638D"/>
    <w:rsid w:val="004E054E"/>
    <w:rsid w:val="0050166D"/>
    <w:rsid w:val="005B014A"/>
    <w:rsid w:val="006D0A0B"/>
    <w:rsid w:val="007A1C50"/>
    <w:rsid w:val="008570BE"/>
    <w:rsid w:val="0087514E"/>
    <w:rsid w:val="00983DF8"/>
    <w:rsid w:val="009C691F"/>
    <w:rsid w:val="00A1163A"/>
    <w:rsid w:val="00B540FB"/>
    <w:rsid w:val="00B75485"/>
    <w:rsid w:val="00BF2EC5"/>
    <w:rsid w:val="00CC6B03"/>
    <w:rsid w:val="00D15149"/>
    <w:rsid w:val="00D25D5E"/>
    <w:rsid w:val="00D85C03"/>
    <w:rsid w:val="00DD265D"/>
    <w:rsid w:val="00E04D9E"/>
    <w:rsid w:val="00E25D62"/>
    <w:rsid w:val="00E27F04"/>
    <w:rsid w:val="00E35DBD"/>
    <w:rsid w:val="00E409AC"/>
    <w:rsid w:val="00E8195E"/>
    <w:rsid w:val="00EC7B71"/>
    <w:rsid w:val="00FD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40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4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40FB"/>
    <w:rPr>
      <w:sz w:val="20"/>
      <w:szCs w:val="20"/>
    </w:rPr>
  </w:style>
  <w:style w:type="paragraph" w:customStyle="1" w:styleId="Default">
    <w:name w:val="Default"/>
    <w:rsid w:val="00065D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F50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>tygh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1FH01</dc:creator>
  <cp:lastModifiedBy>test</cp:lastModifiedBy>
  <cp:revision>3</cp:revision>
  <cp:lastPrinted>2019-04-12T01:22:00Z</cp:lastPrinted>
  <dcterms:created xsi:type="dcterms:W3CDTF">2019-06-13T03:33:00Z</dcterms:created>
  <dcterms:modified xsi:type="dcterms:W3CDTF">2019-06-13T07:20:00Z</dcterms:modified>
</cp:coreProperties>
</file>